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EBC59" w14:textId="77777777" w:rsidR="00DC1D91" w:rsidRDefault="00DC1D91" w:rsidP="00DC1D91">
      <w:pPr>
        <w:pStyle w:val="NormalWeb"/>
        <w:shd w:val="clear" w:color="auto" w:fill="FFFFFF"/>
        <w:spacing w:before="180" w:beforeAutospacing="0" w:after="180" w:afterAutospacing="0"/>
        <w:jc w:val="center"/>
        <w:rPr>
          <w:rFonts w:ascii="Roboto" w:hAnsi="Roboto"/>
          <w:color w:val="222222"/>
        </w:rPr>
      </w:pPr>
      <w:r>
        <w:rPr>
          <w:rFonts w:ascii="Roboto" w:hAnsi="Roboto"/>
          <w:color w:val="222222"/>
        </w:rPr>
        <w:t>Jim A. McCleskey</w:t>
      </w:r>
    </w:p>
    <w:p w14:paraId="6D5C67A3" w14:textId="77777777" w:rsidR="00DC1D91" w:rsidRDefault="00DC1D91" w:rsidP="00DC1D91">
      <w:pPr>
        <w:pStyle w:val="NormalWeb"/>
        <w:shd w:val="clear" w:color="auto" w:fill="FFFFFF"/>
        <w:spacing w:before="180" w:beforeAutospacing="0" w:after="180" w:afterAutospacing="0"/>
        <w:jc w:val="center"/>
        <w:rPr>
          <w:rFonts w:ascii="Roboto" w:hAnsi="Roboto"/>
          <w:color w:val="222222"/>
        </w:rPr>
      </w:pPr>
      <w:r>
        <w:rPr>
          <w:rFonts w:ascii="Roboto" w:hAnsi="Roboto"/>
          <w:color w:val="222222"/>
        </w:rPr>
        <w:t>Doctoral Program, Liberty University</w:t>
      </w:r>
    </w:p>
    <w:p w14:paraId="0D00D918" w14:textId="77777777" w:rsidR="00DC1D91" w:rsidRDefault="00DC1D91" w:rsidP="00DC1D91">
      <w:pPr>
        <w:pStyle w:val="NormalWeb"/>
        <w:shd w:val="clear" w:color="auto" w:fill="FFFFFF"/>
        <w:spacing w:before="180" w:beforeAutospacing="0" w:after="180" w:afterAutospacing="0"/>
        <w:jc w:val="center"/>
        <w:rPr>
          <w:rFonts w:ascii="Roboto" w:hAnsi="Roboto"/>
          <w:color w:val="222222"/>
        </w:rPr>
      </w:pPr>
      <w:r>
        <w:rPr>
          <w:rFonts w:ascii="Roboto" w:hAnsi="Roboto"/>
          <w:color w:val="222222"/>
        </w:rPr>
        <w:t>BUSI820 Quantitative Research Methods</w:t>
      </w:r>
    </w:p>
    <w:p w14:paraId="74953160" w14:textId="77777777" w:rsidR="00DC1D91" w:rsidRDefault="00DC1D91" w:rsidP="00DC1D91">
      <w:pPr>
        <w:pStyle w:val="NormalWeb"/>
        <w:shd w:val="clear" w:color="auto" w:fill="FFFFFF"/>
        <w:spacing w:before="180" w:beforeAutospacing="0" w:after="180" w:afterAutospacing="0"/>
        <w:jc w:val="center"/>
        <w:rPr>
          <w:rFonts w:ascii="Roboto" w:hAnsi="Roboto"/>
          <w:color w:val="222222"/>
        </w:rPr>
      </w:pPr>
      <w:r>
        <w:rPr>
          <w:rFonts w:ascii="Roboto" w:hAnsi="Roboto"/>
          <w:color w:val="222222"/>
        </w:rPr>
        <w:t>Dr. Mark Ellis</w:t>
      </w:r>
    </w:p>
    <w:p w14:paraId="1A9430E7" w14:textId="77777777" w:rsidR="00DC1D91" w:rsidRDefault="00DC1D91" w:rsidP="00DC1D91">
      <w:pPr>
        <w:pStyle w:val="NormalWeb"/>
        <w:shd w:val="clear" w:color="auto" w:fill="FFFFFF"/>
        <w:spacing w:before="180" w:beforeAutospacing="0" w:after="180" w:afterAutospacing="0"/>
        <w:jc w:val="center"/>
        <w:rPr>
          <w:rFonts w:ascii="Roboto" w:hAnsi="Roboto"/>
          <w:color w:val="222222"/>
        </w:rPr>
      </w:pPr>
      <w:r>
        <w:rPr>
          <w:rFonts w:ascii="Roboto" w:hAnsi="Roboto"/>
          <w:color w:val="222222"/>
        </w:rPr>
        <w:t>July 25, 2021</w:t>
      </w:r>
    </w:p>
    <w:p w14:paraId="4224DFAA" w14:textId="77777777" w:rsidR="00DC1D91" w:rsidRDefault="00DC1D91" w:rsidP="00DC1D91">
      <w:pPr>
        <w:pStyle w:val="NormalWeb"/>
        <w:shd w:val="clear" w:color="auto" w:fill="FFFFFF"/>
        <w:spacing w:before="180" w:beforeAutospacing="0" w:after="180" w:afterAutospacing="0"/>
        <w:rPr>
          <w:rFonts w:ascii="Roboto" w:hAnsi="Roboto"/>
          <w:color w:val="222222"/>
        </w:rPr>
      </w:pPr>
      <w:r>
        <w:rPr>
          <w:rFonts w:ascii="Roboto" w:hAnsi="Roboto"/>
          <w:color w:val="222222"/>
        </w:rPr>
        <w:t> </w:t>
      </w:r>
    </w:p>
    <w:p w14:paraId="1BA55D1E" w14:textId="77777777" w:rsidR="00DC1D91" w:rsidRDefault="00DC1D91" w:rsidP="00DC1D91">
      <w:pPr>
        <w:pStyle w:val="NormalWeb"/>
        <w:shd w:val="clear" w:color="auto" w:fill="FFFFFF"/>
        <w:spacing w:before="180" w:beforeAutospacing="0" w:after="0" w:afterAutospacing="0"/>
        <w:rPr>
          <w:rFonts w:ascii="Roboto" w:hAnsi="Roboto"/>
          <w:color w:val="222222"/>
        </w:rPr>
      </w:pPr>
      <w:r>
        <w:rPr>
          <w:rStyle w:val="Strong"/>
          <w:rFonts w:ascii="Roboto" w:hAnsi="Roboto"/>
          <w:color w:val="222222"/>
        </w:rPr>
        <w:t>Discussion Thread: Reliability, Validity, and Internal Consistency</w:t>
      </w:r>
    </w:p>
    <w:p w14:paraId="31F21201" w14:textId="77777777" w:rsidR="00DC1D91" w:rsidRDefault="00DC1D91" w:rsidP="00DC1D91">
      <w:pPr>
        <w:pStyle w:val="NormalWeb"/>
        <w:shd w:val="clear" w:color="auto" w:fill="FFFFFF"/>
        <w:spacing w:before="180" w:beforeAutospacing="0" w:after="180" w:afterAutospacing="0"/>
        <w:rPr>
          <w:rFonts w:ascii="Roboto" w:hAnsi="Roboto"/>
          <w:color w:val="222222"/>
        </w:rPr>
      </w:pPr>
      <w:r>
        <w:rPr>
          <w:rFonts w:ascii="Roboto" w:hAnsi="Roboto"/>
          <w:color w:val="222222"/>
        </w:rPr>
        <w:t xml:space="preserve">            This post presents answers to three short-answer questions about reliability, </w:t>
      </w:r>
      <w:proofErr w:type="gramStart"/>
      <w:r>
        <w:rPr>
          <w:rFonts w:ascii="Roboto" w:hAnsi="Roboto"/>
          <w:color w:val="222222"/>
        </w:rPr>
        <w:t>validity</w:t>
      </w:r>
      <w:proofErr w:type="gramEnd"/>
      <w:r>
        <w:rPr>
          <w:rFonts w:ascii="Roboto" w:hAnsi="Roboto"/>
          <w:color w:val="222222"/>
        </w:rPr>
        <w:t xml:space="preserve"> and internal consistency. The topics include interpreting reliability, interpreting validity, and interpreting internal consistency.</w:t>
      </w:r>
    </w:p>
    <w:p w14:paraId="2EA97C7E" w14:textId="77777777" w:rsidR="00DC1D91" w:rsidRDefault="00DC1D91" w:rsidP="00DC1D91">
      <w:pPr>
        <w:pStyle w:val="NormalWeb"/>
        <w:shd w:val="clear" w:color="auto" w:fill="FFFFFF"/>
        <w:spacing w:before="180" w:beforeAutospacing="0" w:after="0" w:afterAutospacing="0"/>
        <w:rPr>
          <w:rFonts w:ascii="Roboto" w:hAnsi="Roboto"/>
          <w:color w:val="222222"/>
        </w:rPr>
      </w:pPr>
      <w:r>
        <w:rPr>
          <w:rStyle w:val="Strong"/>
          <w:rFonts w:ascii="Roboto" w:hAnsi="Roboto"/>
          <w:color w:val="222222"/>
        </w:rPr>
        <w:t>D4.1 Interpreting Reliability</w:t>
      </w:r>
    </w:p>
    <w:p w14:paraId="3719B63B" w14:textId="77777777" w:rsidR="00DC1D91" w:rsidRDefault="00DC1D91" w:rsidP="00DC1D91">
      <w:pPr>
        <w:pStyle w:val="NormalWeb"/>
        <w:shd w:val="clear" w:color="auto" w:fill="FFFFFF"/>
        <w:spacing w:before="180" w:beforeAutospacing="0" w:after="0" w:afterAutospacing="0"/>
        <w:rPr>
          <w:rFonts w:ascii="Roboto" w:hAnsi="Roboto"/>
          <w:color w:val="222222"/>
        </w:rPr>
      </w:pPr>
      <w:r>
        <w:rPr>
          <w:rStyle w:val="Strong"/>
          <w:rFonts w:ascii="Roboto" w:hAnsi="Roboto"/>
          <w:color w:val="222222"/>
        </w:rPr>
        <w:t>            </w:t>
      </w:r>
      <w:r>
        <w:rPr>
          <w:rFonts w:ascii="Roboto" w:hAnsi="Roboto"/>
          <w:color w:val="222222"/>
        </w:rPr>
        <w:t xml:space="preserve">The discussion in chapter 7 suggests that the high correlation scores achieved on the Paired Sample t Test suggests that students scored by the first observer on the test were likely to be scored the same way about second observer (Morgan et al., 2013). While that is a logical explanation for the outcome, another potential explanation is that the second observer or rater was aware of the first observer score or had access to the first observer’s notes. The second rater could have been influenced by the rating or notes of the first rater. This could have been a factor that influenced the correlation between the two raters’ opinions. Another possibility is if the two raters worked together and shared conversation about the ratings as they were being awarded. It is not clear from the information in the textbook whether the raters had a chance to discuss their ratings during or before the ratings awarded or if the ratings were independent of each other. Another possibility is that the raters had a history with individual or individual who created the work. Pre-existing feelings about the individual may have equally influence the ratings with both raters. A good example of this type of problem is the peer review process. Most reputable journals employ a double-blind peer review process. The reviewer does not know the name of the author and the author is not aware of the name of the reviewer. This encourages the reviewer to be completely honest about the quality of the work and not to hold back for fear of upsetting the author or show any bias toward a well-known author or someone who might be a friend or colleague. </w:t>
      </w:r>
      <w:proofErr w:type="gramStart"/>
      <w:r>
        <w:rPr>
          <w:rFonts w:ascii="Roboto" w:hAnsi="Roboto"/>
          <w:color w:val="222222"/>
        </w:rPr>
        <w:t>In order to</w:t>
      </w:r>
      <w:proofErr w:type="gramEnd"/>
      <w:r>
        <w:rPr>
          <w:rFonts w:ascii="Roboto" w:hAnsi="Roboto"/>
          <w:color w:val="222222"/>
        </w:rPr>
        <w:t xml:space="preserve"> avoid bias in ratings, is best to maintain independent anonymous raters and reviewers.</w:t>
      </w:r>
    </w:p>
    <w:p w14:paraId="7070C1B5" w14:textId="77777777" w:rsidR="00DC1D91" w:rsidRDefault="00DC1D91" w:rsidP="00DC1D91">
      <w:pPr>
        <w:pStyle w:val="NormalWeb"/>
        <w:shd w:val="clear" w:color="auto" w:fill="FFFFFF"/>
        <w:spacing w:before="180" w:beforeAutospacing="0" w:after="0" w:afterAutospacing="0"/>
        <w:rPr>
          <w:rFonts w:ascii="Roboto" w:hAnsi="Roboto"/>
          <w:color w:val="222222"/>
        </w:rPr>
      </w:pPr>
      <w:r>
        <w:rPr>
          <w:rStyle w:val="Strong"/>
          <w:rFonts w:ascii="Roboto" w:hAnsi="Roboto"/>
          <w:color w:val="222222"/>
        </w:rPr>
        <w:t>D4.2 Interpreting Validity</w:t>
      </w:r>
    </w:p>
    <w:p w14:paraId="30C43983" w14:textId="77777777" w:rsidR="00DC1D91" w:rsidRDefault="00DC1D91" w:rsidP="00DC1D91">
      <w:pPr>
        <w:pStyle w:val="NormalWeb"/>
        <w:shd w:val="clear" w:color="auto" w:fill="FFFFFF"/>
        <w:spacing w:before="180" w:beforeAutospacing="0" w:after="0" w:afterAutospacing="0"/>
        <w:rPr>
          <w:rFonts w:ascii="Roboto" w:hAnsi="Roboto"/>
          <w:color w:val="222222"/>
        </w:rPr>
      </w:pPr>
      <w:r>
        <w:rPr>
          <w:rFonts w:ascii="Roboto" w:hAnsi="Roboto"/>
          <w:color w:val="222222"/>
        </w:rPr>
        <w:t xml:space="preserve">            After reviewing the results of the confirmatory factor analysis chapter 7 (Morgan et al., 2013) and </w:t>
      </w:r>
      <w:proofErr w:type="gramStart"/>
      <w:r>
        <w:rPr>
          <w:rFonts w:ascii="Roboto" w:hAnsi="Roboto"/>
          <w:color w:val="222222"/>
        </w:rPr>
        <w:t>in particular reviewing</w:t>
      </w:r>
      <w:proofErr w:type="gramEnd"/>
      <w:r>
        <w:rPr>
          <w:rFonts w:ascii="Roboto" w:hAnsi="Roboto"/>
          <w:color w:val="222222"/>
        </w:rPr>
        <w:t xml:space="preserve"> the Rotated Factor Matrix report results, if one item from the 14 included in the scale were going to be eliminated, to potential choices are possible. First, consider the elimination of </w:t>
      </w:r>
      <w:r>
        <w:rPr>
          <w:rStyle w:val="Emphasis"/>
          <w:rFonts w:ascii="Roboto" w:hAnsi="Roboto"/>
          <w:color w:val="222222"/>
        </w:rPr>
        <w:t>item07 motivation.</w:t>
      </w:r>
      <w:r>
        <w:rPr>
          <w:rFonts w:ascii="Roboto" w:hAnsi="Roboto"/>
          <w:color w:val="222222"/>
        </w:rPr>
        <w:t xml:space="preserve"> This item demonstrates factor loadings of .412 the Factor One and loadings of .585 with Factor </w:t>
      </w:r>
      <w:r>
        <w:rPr>
          <w:rFonts w:ascii="Roboto" w:hAnsi="Roboto"/>
          <w:color w:val="222222"/>
        </w:rPr>
        <w:lastRenderedPageBreak/>
        <w:t>Two. This makes it a confusing test item because it appears to belong to two separate subscales. It also does not load particularly well with either of them since there is .4 loading on one and less than a .6 loading of the other factor. This item should be eliminated or possibly reworded. The second suspect is </w:t>
      </w:r>
      <w:r>
        <w:rPr>
          <w:rStyle w:val="Emphasis"/>
          <w:rFonts w:ascii="Roboto" w:hAnsi="Roboto"/>
          <w:color w:val="222222"/>
        </w:rPr>
        <w:t>item09 competence</w:t>
      </w:r>
      <w:r>
        <w:rPr>
          <w:rFonts w:ascii="Roboto" w:hAnsi="Roboto"/>
          <w:color w:val="222222"/>
        </w:rPr>
        <w:t>. This item has the lowest overall loading of any of the items with a factor loading of .332 for Factor Two. Field (2009) suggests that factor loadings lower than 0.4 should be the cut-off point for interpretation but also admits that this decision may suppress some significant loadings. Additionally, since six items load for Factor 2, losing the weakest of the six still leaves five items and that should be sufficient for the subscale. Between the two, </w:t>
      </w:r>
      <w:r>
        <w:rPr>
          <w:rStyle w:val="Emphasis"/>
          <w:rFonts w:ascii="Roboto" w:hAnsi="Roboto"/>
          <w:color w:val="222222"/>
        </w:rPr>
        <w:t>item09 competence</w:t>
      </w:r>
      <w:r>
        <w:rPr>
          <w:rFonts w:ascii="Roboto" w:hAnsi="Roboto"/>
          <w:color w:val="222222"/>
        </w:rPr>
        <w:t> appears to be the better option for elimination.</w:t>
      </w:r>
    </w:p>
    <w:p w14:paraId="72DF1AB2" w14:textId="77777777" w:rsidR="00DC1D91" w:rsidRDefault="00DC1D91" w:rsidP="00DC1D91">
      <w:pPr>
        <w:pStyle w:val="NormalWeb"/>
        <w:shd w:val="clear" w:color="auto" w:fill="FFFFFF"/>
        <w:spacing w:before="180" w:beforeAutospacing="0" w:after="0" w:afterAutospacing="0"/>
        <w:rPr>
          <w:rFonts w:ascii="Roboto" w:hAnsi="Roboto"/>
          <w:color w:val="222222"/>
        </w:rPr>
      </w:pPr>
      <w:r>
        <w:rPr>
          <w:rStyle w:val="Strong"/>
          <w:rFonts w:ascii="Roboto" w:hAnsi="Roboto"/>
          <w:color w:val="222222"/>
        </w:rPr>
        <w:t>D4.3 Interpreting Internal Consistency</w:t>
      </w:r>
    </w:p>
    <w:p w14:paraId="74102322" w14:textId="77777777" w:rsidR="00DC1D91" w:rsidRDefault="00DC1D91" w:rsidP="00DC1D91">
      <w:pPr>
        <w:pStyle w:val="NormalWeb"/>
        <w:shd w:val="clear" w:color="auto" w:fill="FFFFFF"/>
        <w:spacing w:before="180" w:beforeAutospacing="0" w:after="180" w:afterAutospacing="0"/>
        <w:rPr>
          <w:rFonts w:ascii="Roboto" w:hAnsi="Roboto"/>
          <w:color w:val="222222"/>
        </w:rPr>
      </w:pPr>
      <w:r>
        <w:rPr>
          <w:rFonts w:ascii="Roboto" w:hAnsi="Roboto"/>
          <w:color w:val="222222"/>
        </w:rPr>
        <w:t>            The Internal Consistency of Output 7.4.a is highly consistent and is supported by strong evidence a Cronbach’s alpha score of .856 and corrected item total correlation scores of over .7 for three of the four items (Morgan et al., 2013). The Internal Consistency of Output 7.4.b is moderately correlated and internally consistent based on a Cronbach’s alpha score of .798 and corrected item total correlation scores of over .6 for three items and over .5 for the remaining two items. The Internal Consistency of Output 7.4.c it is minimally correlated and internally consistent based on a Cronbach’s alpha score of .688 and corrected item total correlation scores of .4, .4, .6, and .397 for the four items include.</w:t>
      </w:r>
    </w:p>
    <w:p w14:paraId="2A20D4F3" w14:textId="77777777" w:rsidR="00DC1D91" w:rsidRDefault="00DC1D91" w:rsidP="00DC1D91">
      <w:pPr>
        <w:pStyle w:val="NormalWeb"/>
        <w:shd w:val="clear" w:color="auto" w:fill="FFFFFF"/>
        <w:spacing w:before="180" w:beforeAutospacing="0" w:after="0" w:afterAutospacing="0"/>
        <w:rPr>
          <w:rFonts w:ascii="Roboto" w:hAnsi="Roboto"/>
          <w:color w:val="222222"/>
        </w:rPr>
      </w:pPr>
      <w:r>
        <w:rPr>
          <w:rStyle w:val="Strong"/>
          <w:rFonts w:ascii="Roboto" w:hAnsi="Roboto"/>
          <w:color w:val="222222"/>
        </w:rPr>
        <w:t>Summary</w:t>
      </w:r>
    </w:p>
    <w:p w14:paraId="48964305" w14:textId="77777777" w:rsidR="00DC1D91" w:rsidRDefault="00DC1D91" w:rsidP="00DC1D91">
      <w:pPr>
        <w:pStyle w:val="NormalWeb"/>
        <w:shd w:val="clear" w:color="auto" w:fill="FFFFFF"/>
        <w:spacing w:before="180" w:beforeAutospacing="0" w:after="180" w:afterAutospacing="0"/>
        <w:rPr>
          <w:rFonts w:ascii="Roboto" w:hAnsi="Roboto"/>
          <w:color w:val="222222"/>
        </w:rPr>
      </w:pPr>
      <w:r>
        <w:rPr>
          <w:rFonts w:ascii="Roboto" w:hAnsi="Roboto"/>
          <w:color w:val="222222"/>
        </w:rPr>
        <w:t xml:space="preserve">This post presented answers to three short-answer questions about reliability, </w:t>
      </w:r>
      <w:proofErr w:type="gramStart"/>
      <w:r>
        <w:rPr>
          <w:rFonts w:ascii="Roboto" w:hAnsi="Roboto"/>
          <w:color w:val="222222"/>
        </w:rPr>
        <w:t>validity</w:t>
      </w:r>
      <w:proofErr w:type="gramEnd"/>
      <w:r>
        <w:rPr>
          <w:rFonts w:ascii="Roboto" w:hAnsi="Roboto"/>
          <w:color w:val="222222"/>
        </w:rPr>
        <w:t xml:space="preserve"> and internal consistency. The topics include interpreting reliability, interpreting validity, and interpreting internal consistency.</w:t>
      </w:r>
    </w:p>
    <w:p w14:paraId="4796015D" w14:textId="77777777" w:rsidR="00DC1D91" w:rsidRDefault="00DC1D91" w:rsidP="00DC1D91">
      <w:pPr>
        <w:pStyle w:val="NormalWeb"/>
        <w:shd w:val="clear" w:color="auto" w:fill="FFFFFF"/>
        <w:spacing w:before="180" w:beforeAutospacing="0" w:after="180" w:afterAutospacing="0"/>
        <w:rPr>
          <w:rFonts w:ascii="Roboto" w:hAnsi="Roboto"/>
          <w:color w:val="222222"/>
        </w:rPr>
      </w:pPr>
      <w:r>
        <w:rPr>
          <w:rFonts w:ascii="Roboto" w:hAnsi="Roboto"/>
          <w:color w:val="222222"/>
        </w:rPr>
        <w:t> </w:t>
      </w:r>
    </w:p>
    <w:p w14:paraId="60BF31DD" w14:textId="77777777" w:rsidR="00DC1D91" w:rsidRDefault="00DC1D91" w:rsidP="00DC1D91">
      <w:pPr>
        <w:pStyle w:val="NormalWeb"/>
        <w:shd w:val="clear" w:color="auto" w:fill="FFFFFF"/>
        <w:spacing w:before="180" w:beforeAutospacing="0" w:after="0" w:afterAutospacing="0"/>
        <w:rPr>
          <w:rFonts w:ascii="Roboto" w:hAnsi="Roboto"/>
          <w:color w:val="222222"/>
        </w:rPr>
      </w:pPr>
      <w:r>
        <w:rPr>
          <w:rStyle w:val="Strong"/>
          <w:rFonts w:ascii="Roboto" w:hAnsi="Roboto"/>
          <w:color w:val="222222"/>
        </w:rPr>
        <w:t>References</w:t>
      </w:r>
    </w:p>
    <w:p w14:paraId="21E8C666" w14:textId="77777777" w:rsidR="00DC1D91" w:rsidRDefault="00DC1D91" w:rsidP="00DC1D91">
      <w:pPr>
        <w:pStyle w:val="NormalWeb"/>
        <w:shd w:val="clear" w:color="auto" w:fill="FFFFFF"/>
        <w:spacing w:before="180" w:beforeAutospacing="0" w:after="0" w:afterAutospacing="0"/>
        <w:rPr>
          <w:rFonts w:ascii="Roboto" w:hAnsi="Roboto"/>
          <w:color w:val="222222"/>
        </w:rPr>
      </w:pPr>
      <w:r>
        <w:rPr>
          <w:rFonts w:ascii="Roboto" w:hAnsi="Roboto"/>
          <w:color w:val="222222"/>
        </w:rPr>
        <w:t>Field, A. (2009). </w:t>
      </w:r>
      <w:r>
        <w:rPr>
          <w:rStyle w:val="Emphasis"/>
          <w:rFonts w:ascii="Roboto" w:hAnsi="Roboto"/>
          <w:color w:val="222222"/>
        </w:rPr>
        <w:t>Discovering statistics using SPSS</w:t>
      </w:r>
      <w:r>
        <w:rPr>
          <w:rFonts w:ascii="Roboto" w:hAnsi="Roboto"/>
          <w:color w:val="222222"/>
        </w:rPr>
        <w:t> (3rd ed.). Sage.</w:t>
      </w:r>
    </w:p>
    <w:p w14:paraId="7A100C18" w14:textId="77777777" w:rsidR="00DC1D91" w:rsidRDefault="00DC1D91" w:rsidP="00DC1D91">
      <w:pPr>
        <w:pStyle w:val="NormalWeb"/>
        <w:shd w:val="clear" w:color="auto" w:fill="FFFFFF"/>
        <w:spacing w:before="180" w:beforeAutospacing="0" w:after="0" w:afterAutospacing="0"/>
        <w:rPr>
          <w:rFonts w:ascii="Roboto" w:hAnsi="Roboto"/>
          <w:color w:val="222222"/>
        </w:rPr>
      </w:pPr>
      <w:r>
        <w:rPr>
          <w:rFonts w:ascii="Roboto" w:hAnsi="Roboto"/>
          <w:color w:val="222222"/>
        </w:rPr>
        <w:t>Morgan, G. A., Leech, N. L., Gloeckner, G. W., &amp; Barrett, K. C. (2013). </w:t>
      </w:r>
      <w:r>
        <w:rPr>
          <w:rStyle w:val="Emphasis"/>
          <w:rFonts w:ascii="Roboto" w:hAnsi="Roboto"/>
          <w:color w:val="222222"/>
        </w:rPr>
        <w:t>IBM SPSS for introductory statistics: Use and interpretation</w:t>
      </w:r>
      <w:r>
        <w:rPr>
          <w:rFonts w:ascii="Roboto" w:hAnsi="Roboto"/>
          <w:color w:val="222222"/>
        </w:rPr>
        <w:t> (5th ed.). Routledge</w:t>
      </w:r>
    </w:p>
    <w:p w14:paraId="1A094F87" w14:textId="77777777" w:rsidR="002E4D82" w:rsidRDefault="002E4D82"/>
    <w:sectPr w:rsidR="002E4D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D91"/>
    <w:rsid w:val="002E4D82"/>
    <w:rsid w:val="00DC1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FA07C"/>
  <w15:chartTrackingRefBased/>
  <w15:docId w15:val="{6118EE01-32A5-4D10-A0D3-653767A2C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1D9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1D91"/>
    <w:rPr>
      <w:b/>
      <w:bCs/>
    </w:rPr>
  </w:style>
  <w:style w:type="character" w:styleId="Emphasis">
    <w:name w:val="Emphasis"/>
    <w:basedOn w:val="DefaultParagraphFont"/>
    <w:uiPriority w:val="20"/>
    <w:qFormat/>
    <w:rsid w:val="00DC1D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709</Words>
  <Characters>4042</Characters>
  <Application>Microsoft Office Word</Application>
  <DocSecurity>0</DocSecurity>
  <Lines>33</Lines>
  <Paragraphs>9</Paragraphs>
  <ScaleCrop>false</ScaleCrop>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Gibson, Erica</dc:creator>
  <cp:keywords/>
  <dc:description/>
  <cp:lastModifiedBy>Gibson, Erica</cp:lastModifiedBy>
  <cp:revision>1</cp:revision>
  <dcterms:created xsi:type="dcterms:W3CDTF">2021-07-30T21:57:00Z</dcterms:created>
  <dcterms:modified xsi:type="dcterms:W3CDTF">2021-07-30T21:58:00Z</dcterms:modified>
</cp:coreProperties>
</file>